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0A59A6" w:rsidTr="000F130D">
        <w:trPr>
          <w:jc w:val="center"/>
        </w:trPr>
        <w:tc>
          <w:tcPr>
            <w:tcW w:w="1917" w:type="dxa"/>
            <w:shd w:val="clear" w:color="auto" w:fill="auto"/>
          </w:tcPr>
          <w:p w:rsidR="000A59A6" w:rsidRDefault="000A59A6" w:rsidP="0048585D">
            <w:pPr>
              <w:jc w:val="center"/>
            </w:pPr>
            <w:r>
              <w:t>297</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01/28/1949</w:t>
            </w:r>
          </w:p>
        </w:tc>
      </w:tr>
      <w:tr w:rsidR="000A59A6" w:rsidTr="000F130D">
        <w:trPr>
          <w:jc w:val="center"/>
        </w:trPr>
        <w:tc>
          <w:tcPr>
            <w:tcW w:w="1917" w:type="dxa"/>
            <w:shd w:val="clear" w:color="auto" w:fill="auto"/>
          </w:tcPr>
          <w:p w:rsidR="000A59A6" w:rsidRDefault="000A59A6" w:rsidP="0048585D">
            <w:pPr>
              <w:jc w:val="center"/>
            </w:pPr>
            <w:r>
              <w:t>298</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approving and adopting total costs of all the street improvements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299</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levying an assessment for the payment of street improvements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300</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putting into effect the terms of a contract with WTU</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301</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for the construction and maintenance of portion of US Highway 80 &amp; 83</w:t>
            </w:r>
          </w:p>
        </w:tc>
        <w:tc>
          <w:tcPr>
            <w:tcW w:w="1377" w:type="dxa"/>
            <w:shd w:val="clear" w:color="auto" w:fill="auto"/>
            <w:vAlign w:val="bottom"/>
          </w:tcPr>
          <w:p w:rsidR="000A59A6" w:rsidRDefault="001D15FE">
            <w:pPr>
              <w:jc w:val="right"/>
              <w:rPr>
                <w:rFonts w:ascii="Arial" w:hAnsi="Arial" w:cs="Arial"/>
                <w:sz w:val="20"/>
                <w:szCs w:val="20"/>
              </w:rPr>
            </w:pPr>
            <w:r>
              <w:rPr>
                <w:rFonts w:ascii="Arial" w:hAnsi="Arial" w:cs="Arial"/>
                <w:sz w:val="20"/>
                <w:szCs w:val="20"/>
              </w:rPr>
              <w:t>03/11/1949</w:t>
            </w:r>
            <w:r w:rsidR="000A59A6">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302</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for the installation and construction of an underpass project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7" w:history="1">
              <w:r w:rsidR="000A59A6" w:rsidRPr="000F130D">
                <w:rPr>
                  <w:rStyle w:val="Hyperlink"/>
                </w:rPr>
                <w:t>303</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to the City of Abilene a parcel of land lying immediately south of the present city limit, between Palm street and poplar street and extending south to the south boundary line of Westway drive; said ordinance establishing zoning districts in said annexed territory in accordance with the zoning ordinance of the City of Abilene of 1946</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03/18/1949</w:t>
            </w:r>
          </w:p>
        </w:tc>
      </w:tr>
      <w:tr w:rsidR="000A59A6" w:rsidTr="000F130D">
        <w:trPr>
          <w:jc w:val="center"/>
        </w:trPr>
        <w:tc>
          <w:tcPr>
            <w:tcW w:w="1917" w:type="dxa"/>
            <w:shd w:val="clear" w:color="auto" w:fill="auto"/>
          </w:tcPr>
          <w:p w:rsidR="000A59A6" w:rsidRDefault="00CE568D" w:rsidP="0048585D">
            <w:pPr>
              <w:jc w:val="center"/>
            </w:pPr>
            <w:hyperlink r:id="rId8" w:history="1">
              <w:r w:rsidR="000A59A6" w:rsidRPr="000F130D">
                <w:rPr>
                  <w:rStyle w:val="Hyperlink"/>
                </w:rPr>
                <w:t>304</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to the City of Abilene part 1 of Stevenson Park Addition, all of Stevenson Park, Part of Stevenson subdivision of Outlet 3 Block 221 and all of Stevenson Drive lying between East North 2nd street and east north 10th street, all of which property lies in Blocks Nos. 196, 219, 220, 221 and 222 Original City of Abilene and establishing zoning districts in said annexed territory in accordance with the zoning ordinance of the City of Abilene of 1946</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03/18/1949</w:t>
            </w:r>
          </w:p>
        </w:tc>
      </w:tr>
      <w:tr w:rsidR="000A59A6" w:rsidTr="000F130D">
        <w:trPr>
          <w:jc w:val="center"/>
        </w:trPr>
        <w:tc>
          <w:tcPr>
            <w:tcW w:w="1917" w:type="dxa"/>
            <w:shd w:val="clear" w:color="auto" w:fill="auto"/>
          </w:tcPr>
          <w:p w:rsidR="000A59A6" w:rsidRDefault="00CE568D" w:rsidP="0048585D">
            <w:pPr>
              <w:jc w:val="center"/>
            </w:pPr>
            <w:hyperlink r:id="rId9" w:history="1">
              <w:r w:rsidR="000A59A6" w:rsidRPr="000F130D">
                <w:rPr>
                  <w:rStyle w:val="Hyperlink"/>
                </w:rPr>
                <w:t>305</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Lots 6 to 10 inclusive in Block 11 ;and all of Block 10 and adjoining streets of Mac Bowyer replat of Blocks 3,4,5,8,9,10,11 and 12 of Bowyer Addition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03/25/1949</w:t>
            </w:r>
          </w:p>
        </w:tc>
      </w:tr>
      <w:tr w:rsidR="000A59A6" w:rsidTr="000F130D">
        <w:trPr>
          <w:jc w:val="center"/>
        </w:trPr>
        <w:tc>
          <w:tcPr>
            <w:tcW w:w="1917" w:type="dxa"/>
            <w:shd w:val="clear" w:color="auto" w:fill="auto"/>
          </w:tcPr>
          <w:p w:rsidR="000A59A6" w:rsidRDefault="000A59A6" w:rsidP="0048585D">
            <w:pPr>
              <w:jc w:val="center"/>
            </w:pPr>
            <w:r>
              <w:t>306</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Street Improvements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307</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Ordinance approving the annual budget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0" w:history="1">
              <w:r w:rsidR="000A59A6" w:rsidRPr="000F130D">
                <w:rPr>
                  <w:rStyle w:val="Hyperlink"/>
                </w:rPr>
                <w:t>308</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Blocks 1 2,3,4 &amp; 5 and adjoining streets of Arthel Henson Addition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05/20/1949</w:t>
            </w:r>
          </w:p>
        </w:tc>
      </w:tr>
      <w:tr w:rsidR="000A59A6" w:rsidTr="000F130D">
        <w:trPr>
          <w:jc w:val="center"/>
        </w:trPr>
        <w:tc>
          <w:tcPr>
            <w:tcW w:w="1917" w:type="dxa"/>
            <w:shd w:val="clear" w:color="auto" w:fill="auto"/>
          </w:tcPr>
          <w:p w:rsidR="000A59A6" w:rsidRDefault="00CE568D" w:rsidP="0048585D">
            <w:pPr>
              <w:jc w:val="center"/>
            </w:pPr>
            <w:hyperlink r:id="rId11" w:history="1">
              <w:r w:rsidR="000A59A6" w:rsidRPr="000F130D">
                <w:rPr>
                  <w:rStyle w:val="Hyperlink"/>
                </w:rPr>
                <w:t>309</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Blocks 1 &amp; 2 and adjoining streets of Southland Park addition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05/27/1949</w:t>
            </w:r>
          </w:p>
        </w:tc>
      </w:tr>
      <w:tr w:rsidR="000A59A6" w:rsidTr="000F130D">
        <w:trPr>
          <w:jc w:val="center"/>
        </w:trPr>
        <w:tc>
          <w:tcPr>
            <w:tcW w:w="1917" w:type="dxa"/>
            <w:shd w:val="clear" w:color="auto" w:fill="auto"/>
          </w:tcPr>
          <w:p w:rsidR="000A59A6" w:rsidRDefault="000A59A6" w:rsidP="0048585D">
            <w:pPr>
              <w:jc w:val="center"/>
            </w:pPr>
            <w:r>
              <w:t>310</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for the preservation of the health sanitation and safety</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311</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levying ad valorem taxes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2" w:history="1">
              <w:r w:rsidR="000A59A6" w:rsidRPr="000F130D">
                <w:rPr>
                  <w:rStyle w:val="Hyperlink"/>
                </w:rPr>
                <w:t>312</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changing the names of certain streets in the Arthel Henson subdivision,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06/17/1949</w:t>
            </w:r>
          </w:p>
        </w:tc>
      </w:tr>
      <w:tr w:rsidR="000A59A6" w:rsidTr="000F130D">
        <w:trPr>
          <w:jc w:val="center"/>
        </w:trPr>
        <w:tc>
          <w:tcPr>
            <w:tcW w:w="1917" w:type="dxa"/>
            <w:shd w:val="clear" w:color="auto" w:fill="auto"/>
          </w:tcPr>
          <w:p w:rsidR="000A59A6" w:rsidRDefault="00CE568D" w:rsidP="0048585D">
            <w:pPr>
              <w:jc w:val="center"/>
            </w:pPr>
            <w:hyperlink r:id="rId13" w:history="1">
              <w:r w:rsidR="000A59A6" w:rsidRPr="000F130D">
                <w:rPr>
                  <w:rStyle w:val="Hyperlink"/>
                </w:rPr>
                <w:t>313</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section #3 Elmwood West Addition and adjoining Streets, and establishing zoning districts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06/24/1949</w:t>
            </w:r>
          </w:p>
        </w:tc>
      </w:tr>
      <w:tr w:rsidR="000A59A6" w:rsidTr="000F130D">
        <w:trPr>
          <w:jc w:val="center"/>
        </w:trPr>
        <w:tc>
          <w:tcPr>
            <w:tcW w:w="1917" w:type="dxa"/>
            <w:shd w:val="clear" w:color="auto" w:fill="auto"/>
          </w:tcPr>
          <w:p w:rsidR="000A59A6" w:rsidRDefault="00CE568D" w:rsidP="0048585D">
            <w:pPr>
              <w:jc w:val="center"/>
            </w:pPr>
            <w:hyperlink r:id="rId14" w:history="1">
              <w:r w:rsidR="000A59A6" w:rsidRPr="000F130D">
                <w:rPr>
                  <w:rStyle w:val="Hyperlink"/>
                </w:rPr>
                <w:t>314</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a portion of Legget Drive, the west end of South 7th Street, Elm Creek diversion channel and surrounding territory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07/01/1949</w:t>
            </w:r>
          </w:p>
        </w:tc>
      </w:tr>
      <w:tr w:rsidR="000A59A6" w:rsidTr="000F130D">
        <w:trPr>
          <w:jc w:val="center"/>
        </w:trPr>
        <w:tc>
          <w:tcPr>
            <w:tcW w:w="1917" w:type="dxa"/>
            <w:shd w:val="clear" w:color="auto" w:fill="auto"/>
          </w:tcPr>
          <w:p w:rsidR="000A59A6" w:rsidRDefault="000A59A6" w:rsidP="0048585D">
            <w:pPr>
              <w:jc w:val="center"/>
            </w:pPr>
            <w:r>
              <w:t>315</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316</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impractical to proceed with the improvement of Sammons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317</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levying an assessment for the payment of street improvements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lastRenderedPageBreak/>
              <w:t>318</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Amending Ordinance 290 levying assessment for the payment of street improvements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08/05/1949</w:t>
            </w:r>
          </w:p>
        </w:tc>
      </w:tr>
      <w:tr w:rsidR="000A59A6" w:rsidTr="000F130D">
        <w:trPr>
          <w:jc w:val="center"/>
        </w:trPr>
        <w:tc>
          <w:tcPr>
            <w:tcW w:w="1917" w:type="dxa"/>
            <w:shd w:val="clear" w:color="auto" w:fill="auto"/>
          </w:tcPr>
          <w:p w:rsidR="000A59A6" w:rsidRDefault="000A59A6" w:rsidP="0048585D">
            <w:pPr>
              <w:jc w:val="center"/>
            </w:pPr>
            <w:r>
              <w:t>319</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Ordinance improving N 13th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320</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Ordinance construct the improvements of Sammons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5" w:history="1">
              <w:r w:rsidR="000A59A6" w:rsidRPr="000F130D">
                <w:rPr>
                  <w:rStyle w:val="Hyperlink"/>
                </w:rPr>
                <w:t>321</w:t>
              </w:r>
            </w:hyperlink>
          </w:p>
        </w:tc>
        <w:tc>
          <w:tcPr>
            <w:tcW w:w="5940" w:type="dxa"/>
            <w:shd w:val="clear" w:color="auto" w:fill="auto"/>
            <w:vAlign w:val="bottom"/>
          </w:tcPr>
          <w:p w:rsidR="000A59A6" w:rsidRDefault="000A59A6">
            <w:pPr>
              <w:rPr>
                <w:rFonts w:ascii="Calibri" w:hAnsi="Calibri" w:cs="Arial"/>
                <w:i/>
                <w:iCs/>
              </w:rPr>
            </w:pPr>
            <w:r>
              <w:rPr>
                <w:rFonts w:ascii="Calibri" w:hAnsi="Calibri" w:cs="Arial"/>
                <w:i/>
                <w:iCs/>
              </w:rPr>
              <w:t>An Ordinance fixing water and sewer rates inside and outside the City limits, repealing all existing ordinances in conflict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08/26/1949</w:t>
            </w:r>
          </w:p>
        </w:tc>
      </w:tr>
      <w:tr w:rsidR="000A59A6" w:rsidTr="000F130D">
        <w:trPr>
          <w:jc w:val="center"/>
        </w:trPr>
        <w:tc>
          <w:tcPr>
            <w:tcW w:w="1917" w:type="dxa"/>
            <w:shd w:val="clear" w:color="auto" w:fill="auto"/>
          </w:tcPr>
          <w:p w:rsidR="000A59A6" w:rsidRDefault="000A59A6" w:rsidP="0048585D">
            <w:pPr>
              <w:jc w:val="center"/>
            </w:pPr>
            <w:r>
              <w:t>322</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Ordinance improving Merchant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323</w:t>
            </w:r>
          </w:p>
        </w:tc>
        <w:tc>
          <w:tcPr>
            <w:tcW w:w="5940" w:type="dxa"/>
            <w:shd w:val="clear" w:color="auto" w:fill="auto"/>
            <w:vAlign w:val="bottom"/>
          </w:tcPr>
          <w:p w:rsidR="000A59A6" w:rsidRDefault="000A59A6">
            <w:pPr>
              <w:rPr>
                <w:rFonts w:ascii="Calibri" w:hAnsi="Calibri" w:cs="Arial"/>
                <w:b/>
                <w:bCs/>
                <w:i/>
                <w:iCs/>
              </w:rPr>
            </w:pPr>
            <w:r>
              <w:rPr>
                <w:rFonts w:ascii="Calibri" w:hAnsi="Calibri" w:cs="Arial"/>
                <w:b/>
                <w:bCs/>
                <w:i/>
                <w:iCs/>
              </w:rPr>
              <w:t>An Ordinance defining food handlers, restaurant, and health officer, requiring physical examinations, and other tests, requiring licenses for food handlers to work in restaurants, regulating and prescribing the obtaining of licenses, the enforcement of this ordinance and the fixing of penalties.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09/09/1949</w:t>
            </w:r>
          </w:p>
        </w:tc>
      </w:tr>
      <w:tr w:rsidR="000A59A6" w:rsidTr="000F130D">
        <w:trPr>
          <w:jc w:val="center"/>
        </w:trPr>
        <w:tc>
          <w:tcPr>
            <w:tcW w:w="1917" w:type="dxa"/>
            <w:shd w:val="clear" w:color="auto" w:fill="auto"/>
          </w:tcPr>
          <w:p w:rsidR="000A59A6" w:rsidRDefault="000A59A6" w:rsidP="0048585D">
            <w:pPr>
              <w:jc w:val="center"/>
            </w:pPr>
            <w:r>
              <w:t>324</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Ordinance improving North 3rd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6" w:history="1">
              <w:r w:rsidR="000A59A6" w:rsidRPr="000F130D">
                <w:rPr>
                  <w:rStyle w:val="Hyperlink"/>
                </w:rPr>
                <w:t>325</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a portion of Block 1 West University Place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09/16/1949</w:t>
            </w:r>
          </w:p>
        </w:tc>
      </w:tr>
      <w:tr w:rsidR="000A59A6" w:rsidTr="000F130D">
        <w:trPr>
          <w:jc w:val="center"/>
        </w:trPr>
        <w:tc>
          <w:tcPr>
            <w:tcW w:w="1917" w:type="dxa"/>
            <w:shd w:val="clear" w:color="auto" w:fill="auto"/>
          </w:tcPr>
          <w:p w:rsidR="000A59A6" w:rsidRDefault="00CE568D" w:rsidP="0048585D">
            <w:pPr>
              <w:jc w:val="center"/>
            </w:pPr>
            <w:hyperlink r:id="rId17" w:history="1">
              <w:r w:rsidR="000A59A6" w:rsidRPr="000F130D">
                <w:rPr>
                  <w:rStyle w:val="Hyperlink"/>
                </w:rPr>
                <w:t>326</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Pleasant Hill common School District No. 23 to the City of Abilene and the Abilene Independent School District for School Purposes only</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8" w:history="1">
              <w:r w:rsidR="000A59A6" w:rsidRPr="000F130D">
                <w:rPr>
                  <w:rStyle w:val="Hyperlink"/>
                </w:rPr>
                <w:t>327</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closing, vacating and abandoning a portion of China Street and a portion of an alley running N and S across Lewis sub-division of Lot 4 Block 190</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10/28/1949</w:t>
            </w:r>
          </w:p>
        </w:tc>
      </w:tr>
      <w:tr w:rsidR="000A59A6" w:rsidTr="000F130D">
        <w:trPr>
          <w:jc w:val="center"/>
        </w:trPr>
        <w:tc>
          <w:tcPr>
            <w:tcW w:w="1917" w:type="dxa"/>
            <w:shd w:val="clear" w:color="auto" w:fill="auto"/>
          </w:tcPr>
          <w:p w:rsidR="000A59A6" w:rsidRDefault="000A59A6" w:rsidP="0048585D">
            <w:pPr>
              <w:jc w:val="center"/>
            </w:pPr>
            <w:r>
              <w:t>328</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amending Ord. 299 streets</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0A59A6" w:rsidP="0048585D">
            <w:pPr>
              <w:jc w:val="center"/>
            </w:pPr>
            <w:r>
              <w:t>329</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work on improving South 5th and Sammons Street</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19" w:history="1">
              <w:r w:rsidR="000A59A6" w:rsidRPr="000F130D">
                <w:rPr>
                  <w:rStyle w:val="Hyperlink"/>
                </w:rPr>
                <w:t>330</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Blocks A,B,C,D,E,F,G,H,J,K,L,M,N &amp; O of continuation of Arthel Henson addition to the City of Abilene and adjoining streets to the City of Abilene</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11/25/1949</w:t>
            </w:r>
          </w:p>
        </w:tc>
      </w:tr>
      <w:tr w:rsidR="000A59A6" w:rsidTr="000F130D">
        <w:trPr>
          <w:jc w:val="center"/>
        </w:trPr>
        <w:tc>
          <w:tcPr>
            <w:tcW w:w="1917" w:type="dxa"/>
            <w:shd w:val="clear" w:color="auto" w:fill="auto"/>
          </w:tcPr>
          <w:p w:rsidR="000A59A6" w:rsidRDefault="000A59A6" w:rsidP="0048585D">
            <w:pPr>
              <w:jc w:val="center"/>
            </w:pPr>
            <w:r>
              <w:t>331</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20" w:history="1">
              <w:r w:rsidR="000A59A6" w:rsidRPr="000F130D">
                <w:rPr>
                  <w:rStyle w:val="Hyperlink"/>
                </w:rPr>
                <w:t>332</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annexing to the City of Abilene a part of Lot 1 Block D, Anderson Addition to the City of Abilene, said Ordinance establishing zoning districts in said annexed territory in accordance with the zoning ordinance of the City of Abilene of 1946</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12/09/1949</w:t>
            </w:r>
          </w:p>
        </w:tc>
      </w:tr>
      <w:tr w:rsidR="000A59A6" w:rsidTr="000F130D">
        <w:trPr>
          <w:jc w:val="center"/>
        </w:trPr>
        <w:tc>
          <w:tcPr>
            <w:tcW w:w="1917" w:type="dxa"/>
            <w:shd w:val="clear" w:color="auto" w:fill="auto"/>
          </w:tcPr>
          <w:p w:rsidR="000A59A6" w:rsidRDefault="000A59A6" w:rsidP="0048585D">
            <w:pPr>
              <w:jc w:val="center"/>
            </w:pPr>
            <w:r>
              <w:t>333</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 xml:space="preserve">An ordinance establishing a one-way traffic system in all alleys in two down town districts; the north-west district being bounded on the north by north sixth street, on the east by mesquite street, on the south by north first street, and on the west by orange street; the southern district being bounded on the north by south first street, on the east by pecan street, on the south by south fifth street, and on the west by butternut street; establishing "no parking" areas in said alleys and repealing all ordinances in conflict herewith. </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12/09/1949</w:t>
            </w:r>
          </w:p>
        </w:tc>
      </w:tr>
      <w:tr w:rsidR="000A59A6" w:rsidTr="000F130D">
        <w:trPr>
          <w:jc w:val="center"/>
        </w:trPr>
        <w:tc>
          <w:tcPr>
            <w:tcW w:w="1917" w:type="dxa"/>
            <w:shd w:val="clear" w:color="auto" w:fill="auto"/>
          </w:tcPr>
          <w:p w:rsidR="000A59A6" w:rsidRDefault="00CE568D" w:rsidP="0048585D">
            <w:pPr>
              <w:jc w:val="center"/>
            </w:pPr>
            <w:hyperlink r:id="rId21" w:history="1">
              <w:r w:rsidR="000A59A6" w:rsidRPr="00B30EBE">
                <w:rPr>
                  <w:rStyle w:val="Hyperlink"/>
                </w:rPr>
                <w:t>334</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closing, vacating and abandoning a portion of a public alley running north and south across Belmont development company's subdivision of Lot 1 Block 21 Continuation of Belmont Addition</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12/16/1949</w:t>
            </w:r>
          </w:p>
        </w:tc>
      </w:tr>
      <w:tr w:rsidR="000A59A6" w:rsidTr="000F130D">
        <w:trPr>
          <w:jc w:val="center"/>
        </w:trPr>
        <w:tc>
          <w:tcPr>
            <w:tcW w:w="1917" w:type="dxa"/>
            <w:shd w:val="clear" w:color="auto" w:fill="auto"/>
          </w:tcPr>
          <w:p w:rsidR="000A59A6" w:rsidRDefault="000A59A6" w:rsidP="0048585D">
            <w:pPr>
              <w:jc w:val="center"/>
            </w:pPr>
            <w:r>
              <w:t>335</w:t>
            </w:r>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A59A6" w:rsidRDefault="000A59A6">
            <w:pPr>
              <w:rPr>
                <w:rFonts w:ascii="Arial" w:hAnsi="Arial" w:cs="Arial"/>
                <w:sz w:val="20"/>
                <w:szCs w:val="20"/>
              </w:rPr>
            </w:pPr>
            <w:r>
              <w:rPr>
                <w:rFonts w:ascii="Arial" w:hAnsi="Arial" w:cs="Arial"/>
                <w:sz w:val="20"/>
                <w:szCs w:val="20"/>
              </w:rPr>
              <w:t> </w:t>
            </w:r>
          </w:p>
        </w:tc>
      </w:tr>
      <w:tr w:rsidR="000A59A6" w:rsidTr="000F130D">
        <w:trPr>
          <w:jc w:val="center"/>
        </w:trPr>
        <w:tc>
          <w:tcPr>
            <w:tcW w:w="1917" w:type="dxa"/>
            <w:shd w:val="clear" w:color="auto" w:fill="auto"/>
          </w:tcPr>
          <w:p w:rsidR="000A59A6" w:rsidRDefault="00CE568D" w:rsidP="0048585D">
            <w:pPr>
              <w:jc w:val="center"/>
            </w:pPr>
            <w:hyperlink r:id="rId22" w:history="1">
              <w:r w:rsidR="000A59A6" w:rsidRPr="00B30EBE">
                <w:rPr>
                  <w:rStyle w:val="Hyperlink"/>
                </w:rPr>
                <w:t>336</w:t>
              </w:r>
            </w:hyperlink>
          </w:p>
        </w:tc>
        <w:tc>
          <w:tcPr>
            <w:tcW w:w="5940" w:type="dxa"/>
            <w:shd w:val="clear" w:color="auto" w:fill="auto"/>
            <w:vAlign w:val="bottom"/>
          </w:tcPr>
          <w:p w:rsidR="000A59A6" w:rsidRDefault="000A59A6">
            <w:pPr>
              <w:rPr>
                <w:rFonts w:ascii="Arial" w:hAnsi="Arial" w:cs="Arial"/>
                <w:sz w:val="20"/>
                <w:szCs w:val="20"/>
              </w:rPr>
            </w:pPr>
            <w:r>
              <w:rPr>
                <w:rFonts w:ascii="Arial" w:hAnsi="Arial" w:cs="Arial"/>
                <w:sz w:val="20"/>
                <w:szCs w:val="20"/>
              </w:rPr>
              <w:t>An Ordinance changing the name of a street in C. E. Crimes subdivision of part of James Warfield Survey No. 86</w:t>
            </w:r>
          </w:p>
        </w:tc>
        <w:tc>
          <w:tcPr>
            <w:tcW w:w="1377" w:type="dxa"/>
            <w:shd w:val="clear" w:color="auto" w:fill="auto"/>
            <w:vAlign w:val="bottom"/>
          </w:tcPr>
          <w:p w:rsidR="000A59A6" w:rsidRDefault="000A59A6">
            <w:pPr>
              <w:jc w:val="right"/>
              <w:rPr>
                <w:rFonts w:ascii="Arial" w:hAnsi="Arial" w:cs="Arial"/>
                <w:sz w:val="20"/>
                <w:szCs w:val="20"/>
              </w:rPr>
            </w:pPr>
            <w:r>
              <w:rPr>
                <w:rFonts w:ascii="Arial" w:hAnsi="Arial" w:cs="Arial"/>
                <w:sz w:val="20"/>
                <w:szCs w:val="20"/>
              </w:rPr>
              <w:t>12/23/1949</w:t>
            </w:r>
          </w:p>
        </w:tc>
      </w:tr>
      <w:tr w:rsidR="000A59A6" w:rsidTr="000F130D">
        <w:trPr>
          <w:jc w:val="center"/>
        </w:trPr>
        <w:tc>
          <w:tcPr>
            <w:tcW w:w="1917" w:type="dxa"/>
            <w:shd w:val="clear" w:color="auto" w:fill="auto"/>
          </w:tcPr>
          <w:p w:rsidR="000A59A6" w:rsidRDefault="000A59A6" w:rsidP="0048585D">
            <w:pPr>
              <w:jc w:val="center"/>
            </w:pPr>
            <w:r>
              <w:lastRenderedPageBreak/>
              <w:t>337</w:t>
            </w:r>
          </w:p>
        </w:tc>
        <w:tc>
          <w:tcPr>
            <w:tcW w:w="5940" w:type="dxa"/>
            <w:shd w:val="clear" w:color="auto" w:fill="auto"/>
            <w:vAlign w:val="bottom"/>
          </w:tcPr>
          <w:p w:rsidR="000A59A6" w:rsidRDefault="000A59A6">
            <w:pPr>
              <w:rPr>
                <w:rFonts w:ascii="Arial" w:hAnsi="Arial" w:cs="Arial"/>
                <w:sz w:val="20"/>
                <w:szCs w:val="20"/>
              </w:rPr>
            </w:pPr>
          </w:p>
        </w:tc>
        <w:tc>
          <w:tcPr>
            <w:tcW w:w="1377" w:type="dxa"/>
            <w:shd w:val="clear" w:color="auto" w:fill="auto"/>
            <w:vAlign w:val="bottom"/>
          </w:tcPr>
          <w:p w:rsidR="000A59A6" w:rsidRDefault="000A59A6">
            <w:pPr>
              <w:jc w:val="right"/>
              <w:rPr>
                <w:rFonts w:ascii="Arial" w:hAnsi="Arial" w:cs="Arial"/>
                <w:sz w:val="20"/>
                <w:szCs w:val="20"/>
              </w:rPr>
            </w:pPr>
          </w:p>
        </w:tc>
      </w:tr>
      <w:tr w:rsidR="000A59A6" w:rsidTr="000F130D">
        <w:trPr>
          <w:jc w:val="center"/>
        </w:trPr>
        <w:tc>
          <w:tcPr>
            <w:tcW w:w="1917" w:type="dxa"/>
            <w:shd w:val="clear" w:color="auto" w:fill="auto"/>
          </w:tcPr>
          <w:p w:rsidR="000A59A6" w:rsidRDefault="000A59A6" w:rsidP="0048585D">
            <w:pPr>
              <w:jc w:val="center"/>
            </w:pPr>
            <w:r>
              <w:t>338</w:t>
            </w:r>
          </w:p>
        </w:tc>
        <w:tc>
          <w:tcPr>
            <w:tcW w:w="5940" w:type="dxa"/>
            <w:shd w:val="clear" w:color="auto" w:fill="auto"/>
            <w:vAlign w:val="bottom"/>
          </w:tcPr>
          <w:p w:rsidR="000A59A6" w:rsidRDefault="000A59A6">
            <w:pPr>
              <w:rPr>
                <w:rFonts w:ascii="Arial" w:hAnsi="Arial" w:cs="Arial"/>
                <w:sz w:val="20"/>
                <w:szCs w:val="20"/>
              </w:rPr>
            </w:pPr>
          </w:p>
        </w:tc>
        <w:tc>
          <w:tcPr>
            <w:tcW w:w="1377" w:type="dxa"/>
            <w:shd w:val="clear" w:color="auto" w:fill="auto"/>
            <w:vAlign w:val="bottom"/>
          </w:tcPr>
          <w:p w:rsidR="000A59A6" w:rsidRDefault="000A59A6">
            <w:pPr>
              <w:jc w:val="right"/>
              <w:rPr>
                <w:rFonts w:ascii="Arial" w:hAnsi="Arial" w:cs="Arial"/>
                <w:sz w:val="20"/>
                <w:szCs w:val="20"/>
              </w:rPr>
            </w:pPr>
          </w:p>
        </w:tc>
      </w:tr>
    </w:tbl>
    <w:p w:rsidR="003B3702" w:rsidRDefault="003B3702"/>
    <w:sectPr w:rsidR="003B3702" w:rsidSect="000B109B">
      <w:headerReference w:type="default" r:id="rId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30D" w:rsidRDefault="000F130D">
      <w:r>
        <w:separator/>
      </w:r>
    </w:p>
  </w:endnote>
  <w:endnote w:type="continuationSeparator" w:id="0">
    <w:p w:rsidR="000F130D" w:rsidRDefault="000F1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30D" w:rsidRDefault="000F130D">
      <w:r>
        <w:separator/>
      </w:r>
    </w:p>
  </w:footnote>
  <w:footnote w:type="continuationSeparator" w:id="0">
    <w:p w:rsidR="000F130D" w:rsidRDefault="000F1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0D" w:rsidRPr="00643371" w:rsidRDefault="000F130D"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0F130D" w:rsidRDefault="000F130D" w:rsidP="007A6D99">
    <w:pPr>
      <w:pStyle w:val="Header"/>
      <w:jc w:val="center"/>
      <w:rPr>
        <w:b/>
      </w:rPr>
    </w:pPr>
    <w:r>
      <w:rPr>
        <w:b/>
      </w:rPr>
      <w:t>List of Ordinances for 1949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47159"/>
    <w:rsid w:val="00070D4D"/>
    <w:rsid w:val="00071B31"/>
    <w:rsid w:val="000773B5"/>
    <w:rsid w:val="0008086F"/>
    <w:rsid w:val="000827EA"/>
    <w:rsid w:val="000843C2"/>
    <w:rsid w:val="000962CB"/>
    <w:rsid w:val="000A2C12"/>
    <w:rsid w:val="000A59A6"/>
    <w:rsid w:val="000B109B"/>
    <w:rsid w:val="000B194C"/>
    <w:rsid w:val="000C5C95"/>
    <w:rsid w:val="000C7279"/>
    <w:rsid w:val="000D5EFB"/>
    <w:rsid w:val="000D7206"/>
    <w:rsid w:val="000D7C00"/>
    <w:rsid w:val="000E3DF0"/>
    <w:rsid w:val="000F071C"/>
    <w:rsid w:val="000F130D"/>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D15FE"/>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55C7A"/>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1C8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1E1F"/>
    <w:rsid w:val="00AF7A63"/>
    <w:rsid w:val="00B05EAC"/>
    <w:rsid w:val="00B10651"/>
    <w:rsid w:val="00B143F7"/>
    <w:rsid w:val="00B22BCB"/>
    <w:rsid w:val="00B279DA"/>
    <w:rsid w:val="00B30EBE"/>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568D"/>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5A5B"/>
    <w:rsid w:val="00D86F67"/>
    <w:rsid w:val="00D933F5"/>
    <w:rsid w:val="00DA0841"/>
    <w:rsid w:val="00DA3CE5"/>
    <w:rsid w:val="00DA796F"/>
    <w:rsid w:val="00DB31A1"/>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413FE"/>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57CD"/>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34635292">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304-1949.pdf" TargetMode="External"/><Relationship Id="rId13" Type="http://schemas.openxmlformats.org/officeDocument/2006/relationships/hyperlink" Target="Ordinance%20313-1949.pdf" TargetMode="External"/><Relationship Id="rId18" Type="http://schemas.openxmlformats.org/officeDocument/2006/relationships/hyperlink" Target="Ordinance%20327-1949.pdf" TargetMode="External"/><Relationship Id="rId3" Type="http://schemas.openxmlformats.org/officeDocument/2006/relationships/settings" Target="settings.xml"/><Relationship Id="rId21" Type="http://schemas.openxmlformats.org/officeDocument/2006/relationships/hyperlink" Target="Ordinance%20334-1949.PDF" TargetMode="External"/><Relationship Id="rId7" Type="http://schemas.openxmlformats.org/officeDocument/2006/relationships/hyperlink" Target="Ordinance%20303-1949.pdf" TargetMode="External"/><Relationship Id="rId12" Type="http://schemas.openxmlformats.org/officeDocument/2006/relationships/hyperlink" Target="Ordinance%20312-1949.pdf" TargetMode="External"/><Relationship Id="rId17" Type="http://schemas.openxmlformats.org/officeDocument/2006/relationships/hyperlink" Target="Ordinance%20326-1949.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rdinance%20325-1949.pdf" TargetMode="External"/><Relationship Id="rId20" Type="http://schemas.openxmlformats.org/officeDocument/2006/relationships/hyperlink" Target="Ordinance%20332-194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309-1949.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Ordinance%20321-1949.PDF" TargetMode="External"/><Relationship Id="rId23" Type="http://schemas.openxmlformats.org/officeDocument/2006/relationships/header" Target="header1.xml"/><Relationship Id="rId10" Type="http://schemas.openxmlformats.org/officeDocument/2006/relationships/hyperlink" Target="Ordinance%20308-1949.pdf" TargetMode="External"/><Relationship Id="rId19" Type="http://schemas.openxmlformats.org/officeDocument/2006/relationships/hyperlink" Target="Ordinance%20330-1949.pdf" TargetMode="External"/><Relationship Id="rId4" Type="http://schemas.openxmlformats.org/officeDocument/2006/relationships/webSettings" Target="webSettings.xml"/><Relationship Id="rId9" Type="http://schemas.openxmlformats.org/officeDocument/2006/relationships/hyperlink" Target="Ordinance%20305-1949.pdf" TargetMode="External"/><Relationship Id="rId14" Type="http://schemas.openxmlformats.org/officeDocument/2006/relationships/hyperlink" Target="Ordinance%20314-1949.pdf" TargetMode="External"/><Relationship Id="rId22" Type="http://schemas.openxmlformats.org/officeDocument/2006/relationships/hyperlink" Target="Ordinance%20336-19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853</Words>
  <Characters>5125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5967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2011-09-23T19:28:00Z</dcterms:created>
  <dcterms:modified xsi:type="dcterms:W3CDTF">2015-06-11T14:46:00Z</dcterms:modified>
</cp:coreProperties>
</file>